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B3" w:rsidRDefault="00E47DE0">
      <w:pPr>
        <w:spacing w:after="9"/>
        <w:ind w:left="-5" w:right="0"/>
      </w:pPr>
      <w:r>
        <w:rPr>
          <w:b/>
        </w:rPr>
        <w:t xml:space="preserve">DIP. INGRID DEL PILAR SANTOS DÍAZ </w:t>
      </w:r>
    </w:p>
    <w:p w:rsidR="00C512B3" w:rsidRDefault="00E47DE0">
      <w:pPr>
        <w:spacing w:after="9"/>
        <w:ind w:left="-5" w:right="0"/>
      </w:pPr>
      <w:r>
        <w:rPr>
          <w:b/>
        </w:rPr>
        <w:t xml:space="preserve">PRESIDENTA DE LA MESA DIRECTIVA DEL  </w:t>
      </w:r>
    </w:p>
    <w:p w:rsidR="00C512B3" w:rsidRDefault="00E47DE0">
      <w:pPr>
        <w:spacing w:after="9"/>
        <w:ind w:left="-5" w:right="0"/>
      </w:pPr>
      <w:r>
        <w:rPr>
          <w:b/>
        </w:rPr>
        <w:t xml:space="preserve">CONGRESO DEL ESTADO DE YUCATÁN  </w:t>
      </w:r>
    </w:p>
    <w:p w:rsidR="00C512B3" w:rsidRDefault="00E47DE0">
      <w:pPr>
        <w:spacing w:after="9"/>
        <w:ind w:left="-5" w:right="0"/>
      </w:pPr>
      <w:r>
        <w:rPr>
          <w:b/>
        </w:rPr>
        <w:t xml:space="preserve">P R E S E N T E </w:t>
      </w:r>
    </w:p>
    <w:p w:rsidR="00C512B3" w:rsidRDefault="00E47DE0">
      <w:pPr>
        <w:spacing w:after="21" w:line="259" w:lineRule="auto"/>
        <w:ind w:left="0" w:right="0" w:firstLine="0"/>
        <w:jc w:val="left"/>
      </w:pPr>
      <w:r>
        <w:rPr>
          <w:b/>
        </w:rPr>
        <w:t xml:space="preserve"> </w:t>
      </w:r>
    </w:p>
    <w:p w:rsidR="00C512B3" w:rsidRDefault="00E47DE0">
      <w:pPr>
        <w:spacing w:after="10"/>
        <w:ind w:left="-5" w:right="0"/>
      </w:pPr>
      <w:r>
        <w:t xml:space="preserve">La que suscribe, </w:t>
      </w:r>
      <w:r>
        <w:rPr>
          <w:b/>
        </w:rPr>
        <w:t xml:space="preserve">Manuela de Jesús </w:t>
      </w:r>
      <w:proofErr w:type="spellStart"/>
      <w:r>
        <w:rPr>
          <w:b/>
        </w:rPr>
        <w:t>Cocom</w:t>
      </w:r>
      <w:proofErr w:type="spellEnd"/>
      <w:r>
        <w:rPr>
          <w:b/>
        </w:rPr>
        <w:t xml:space="preserve"> </w:t>
      </w:r>
      <w:proofErr w:type="spellStart"/>
      <w:r>
        <w:rPr>
          <w:b/>
        </w:rPr>
        <w:t>Bolio</w:t>
      </w:r>
      <w:proofErr w:type="spellEnd"/>
      <w:r>
        <w:t xml:space="preserve">, Diputada integrante de la Fracción Legislativa del Partido Acción Nacional de la Sexagésima Tercera Legislatura de este Honorable Congreso del Estado de Yucatán, en ejercicio de la facultad que me confiere el artículo 35 fracción I de la Constitución Política del Estado de Yucatán; los artículos 16 y 22 de la Ley de Gobierno del Poder Legislativo del Estado de Yucatán, así como los artículos 68 y 69 del Reglamento de la Ley de Gobierno del Poder Legislativo del Estado de Yucatán, someto a consideración de esta Soberanía la presente </w:t>
      </w:r>
      <w:r>
        <w:rPr>
          <w:b/>
        </w:rPr>
        <w:t xml:space="preserve">INICIATIVA CON PROYECTO DE DECRETO POR EL QUE SE ADICIONA LA FRACCIÓN XVII BIS AL ARTÍCULO 41 ASÍ COMO SE REFORMA LA FRACCIÓN V DEL ARTÍCULO 51, AMBOS DE LA LEY DE GOBIERNO DE LOS MUNICIPIOS DEL ESTADO DE YUCATÁN, </w:t>
      </w:r>
      <w:r>
        <w:t xml:space="preserve">al tenor de la siguiente: </w:t>
      </w:r>
    </w:p>
    <w:p w:rsidR="00C512B3" w:rsidRDefault="00E47DE0">
      <w:pPr>
        <w:spacing w:after="19" w:line="259" w:lineRule="auto"/>
        <w:ind w:left="0" w:right="0" w:firstLine="0"/>
        <w:jc w:val="left"/>
      </w:pPr>
      <w:r>
        <w:rPr>
          <w:b/>
        </w:rPr>
        <w:t xml:space="preserve"> </w:t>
      </w:r>
    </w:p>
    <w:p w:rsidR="00C512B3" w:rsidRDefault="00E47DE0">
      <w:pPr>
        <w:spacing w:after="19" w:line="259" w:lineRule="auto"/>
        <w:ind w:left="714" w:right="705"/>
        <w:jc w:val="center"/>
      </w:pPr>
      <w:r>
        <w:rPr>
          <w:b/>
        </w:rPr>
        <w:t xml:space="preserve">EXPOSICIÓN DE MOTIVOS </w:t>
      </w:r>
    </w:p>
    <w:p w:rsidR="00C512B3" w:rsidRDefault="00E47DE0">
      <w:pPr>
        <w:spacing w:after="19" w:line="259" w:lineRule="auto"/>
        <w:ind w:left="66" w:right="0" w:firstLine="0"/>
        <w:jc w:val="center"/>
      </w:pPr>
      <w:r>
        <w:rPr>
          <w:b/>
        </w:rPr>
        <w:t xml:space="preserve"> </w:t>
      </w:r>
    </w:p>
    <w:p w:rsidR="00C512B3" w:rsidRDefault="00E47DE0">
      <w:pPr>
        <w:ind w:left="-5" w:right="0"/>
      </w:pPr>
      <w:r>
        <w:t xml:space="preserve">La autoridad en todos sus órdenes de gobierno está obligada a escuchar la voz de la ciudadanía, así como a establecer un canal directo de escucha ciudadana para detectar necesidades que permitan generar una atención con mayor eficiencia.  </w:t>
      </w:r>
    </w:p>
    <w:p w:rsidR="00C512B3" w:rsidRDefault="00E47DE0">
      <w:pPr>
        <w:ind w:left="-5" w:right="0"/>
      </w:pPr>
      <w:r>
        <w:t>En el ámbito internacional, el derecho de petición está consagrado en la Declaración Americana de los Derechos y Deberes del Hombre, específicamente en su Artículo</w:t>
      </w:r>
      <w:r>
        <w:rPr>
          <w:rFonts w:ascii="Tahoma" w:eastAsia="Tahoma" w:hAnsi="Tahoma" w:cs="Tahoma"/>
          <w:color w:val="333333"/>
          <w:vertAlign w:val="subscript"/>
        </w:rPr>
        <w:t xml:space="preserve"> </w:t>
      </w:r>
      <w:r>
        <w:t xml:space="preserve">XXIV que establece: </w:t>
      </w:r>
    </w:p>
    <w:p w:rsidR="00C512B3" w:rsidRDefault="00E47DE0">
      <w:pPr>
        <w:spacing w:after="165" w:line="292" w:lineRule="auto"/>
        <w:ind w:left="427" w:right="614" w:hanging="144"/>
      </w:pPr>
      <w:r>
        <w:rPr>
          <w:i/>
          <w:sz w:val="22"/>
          <w:shd w:val="clear" w:color="auto" w:fill="EFF4FC"/>
        </w:rPr>
        <w:t xml:space="preserve"> “Toda persona tiene derecho de presentar peticiones respetuosas a cualquiera</w:t>
      </w:r>
      <w:r>
        <w:rPr>
          <w:i/>
          <w:sz w:val="22"/>
        </w:rPr>
        <w:t xml:space="preserve"> </w:t>
      </w:r>
      <w:r>
        <w:rPr>
          <w:i/>
          <w:sz w:val="22"/>
          <w:shd w:val="clear" w:color="auto" w:fill="EFF4FC"/>
        </w:rPr>
        <w:t>autoridad competente, ya sea por motivo de interés general, ya de interés</w:t>
      </w:r>
      <w:r>
        <w:rPr>
          <w:i/>
          <w:sz w:val="22"/>
        </w:rPr>
        <w:t xml:space="preserve"> </w:t>
      </w:r>
      <w:r>
        <w:rPr>
          <w:i/>
          <w:sz w:val="22"/>
          <w:shd w:val="clear" w:color="auto" w:fill="EFF4FC"/>
        </w:rPr>
        <w:t>particular, y el de obtener pronta resolución”.</w:t>
      </w:r>
      <w:r>
        <w:rPr>
          <w:i/>
          <w:sz w:val="22"/>
        </w:rPr>
        <w:t xml:space="preserve"> </w:t>
      </w:r>
    </w:p>
    <w:p w:rsidR="00C512B3" w:rsidRDefault="00E47DE0">
      <w:pPr>
        <w:spacing w:after="163" w:line="276" w:lineRule="auto"/>
        <w:ind w:left="0" w:right="52" w:firstLine="0"/>
      </w:pPr>
      <w:r>
        <w:rPr>
          <w:shd w:val="clear" w:color="auto" w:fill="EFF4FC"/>
        </w:rPr>
        <w:t>A su vez, la Agenda 2030 para el desarrollo sostenible, establece en su objetivo</w:t>
      </w:r>
      <w:r>
        <w:t xml:space="preserve"> </w:t>
      </w:r>
      <w:r>
        <w:rPr>
          <w:shd w:val="clear" w:color="auto" w:fill="EFF4FC"/>
        </w:rPr>
        <w:t>número 16, la meta de alcanzar “paz, justicia e instituciones sólidas” con el</w:t>
      </w:r>
      <w:r>
        <w:t xml:space="preserve"> </w:t>
      </w:r>
      <w:r>
        <w:rPr>
          <w:shd w:val="clear" w:color="auto" w:fill="EFF4FC"/>
        </w:rPr>
        <w:t>compromiso de mejora de los gobiernos y sus instituciones.</w:t>
      </w:r>
      <w:r>
        <w:t xml:space="preserve"> </w:t>
      </w:r>
    </w:p>
    <w:p w:rsidR="00C512B3" w:rsidRDefault="00E47DE0">
      <w:pPr>
        <w:ind w:left="-5" w:right="0"/>
      </w:pPr>
      <w:r>
        <w:t xml:space="preserve">En el marco jurídico mexicano, el derecho de petición está consagrado en el artículo 8o. de la Constitución Política de los Estados Unidos Mexicanos, que a la letra dispone: </w:t>
      </w:r>
    </w:p>
    <w:p w:rsidR="00C512B3" w:rsidRDefault="00E47DE0">
      <w:pPr>
        <w:spacing w:after="172" w:line="282" w:lineRule="auto"/>
        <w:ind w:left="427" w:right="756" w:firstLine="0"/>
      </w:pPr>
      <w:r>
        <w:rPr>
          <w:i/>
          <w:sz w:val="22"/>
        </w:rPr>
        <w:lastRenderedPageBreak/>
        <w:t xml:space="preserve">“Los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escrito de la autoridad a quien se haya dirigido, la cual tiene obligación de hacerlo conocer en breve término al peticionario”.   </w:t>
      </w:r>
    </w:p>
    <w:p w:rsidR="00C512B3" w:rsidRDefault="00E47DE0">
      <w:pPr>
        <w:ind w:left="-5" w:right="0"/>
      </w:pPr>
      <w:r>
        <w:t xml:space="preserve">De esta manera, el derecho de petición se concibe, por un lado, como derecho humano que puede ser ejercido por cualquier individuo, mientras no sea en materia política, y por otro lado se establece como un derecho político que únicamente puede ser utilizado por aquellos que entren en la categoría de ciudadanos mexicanos. El derecho de respuesta, por otro lado, contiene la obligación que tienen los órganos y los servidores públicos para dictar un acuerdo y hacer del conocimiento al peticionario del mismo.  </w:t>
      </w:r>
    </w:p>
    <w:p w:rsidR="00C512B3" w:rsidRDefault="00E47DE0">
      <w:pPr>
        <w:ind w:left="-5" w:right="0"/>
      </w:pPr>
      <w:r>
        <w:t xml:space="preserve">En este sentido, el derecho de petición, que se expresa mediante la atención ciudadana alude generalmente a la solicitud de servicios públicos, tales como alumbrado público, recolección de basura, pavimentación, etcétera, así como a la solicitud información referente a un tema de interés. </w:t>
      </w:r>
    </w:p>
    <w:p w:rsidR="00C512B3" w:rsidRDefault="00E47DE0">
      <w:pPr>
        <w:ind w:left="-5" w:right="0"/>
      </w:pPr>
      <w:r>
        <w:t xml:space="preserve">Con la presente iniciativa se pretende, establecer las vías correspondientes para garantizar a nivel municipal, el ejercicio del derecho de toda persona, incluida las comunidades indígenas, a realizar una petición con relación a algún asunto de su interés o necesidad, mediante mecanismos de atención ciudadana a través de las áreas destinadas a tal fin; brindándole a la ciudadanía una experiencia más accesible, cercana y transparente.  </w:t>
      </w:r>
    </w:p>
    <w:p w:rsidR="00C512B3" w:rsidRDefault="00E47DE0">
      <w:pPr>
        <w:ind w:left="-5" w:right="0"/>
      </w:pPr>
      <w:r>
        <w:t xml:space="preserve">Sin duda alguna, el diálogo permanente que debe existir en la vida de una sociedad democrática entre gobernantes y gobernados no puede coexistir sin la obligación y el compromiso de escuchar y responder a través de mecanismos de atención ciudadana, por ello, la iniciativa que se presenta, coadyuva a estos propósitos. </w:t>
      </w:r>
    </w:p>
    <w:p w:rsidR="00C512B3" w:rsidRDefault="00E47DE0">
      <w:pPr>
        <w:spacing w:after="9"/>
        <w:ind w:left="-5" w:right="0"/>
      </w:pPr>
      <w:r>
        <w:t xml:space="preserve">Por lo antes expuesto, someto a consideración de esta soberanía, la siguiente </w:t>
      </w:r>
      <w:r>
        <w:rPr>
          <w:b/>
        </w:rPr>
        <w:t xml:space="preserve">INICIATIVA CON PROYECTO DE DECRETO POR EL QUE SE ADICIONA LA FRACCIÓN XVII BIS AL ARTÍCULO 41 ASÍ COMO SE REFORMA LA FRACCIÓN V DEL ARTÍCULO 51, AMBOS DE LA LEY DE GOBIERNO DE LOS MUNICIPIOS DEL ESTADO DE YUCATÁN, PARA QUEDAR COMO SIGUE: </w:t>
      </w:r>
    </w:p>
    <w:p w:rsidR="00C512B3" w:rsidRDefault="00E47DE0">
      <w:pPr>
        <w:spacing w:after="0" w:line="259" w:lineRule="auto"/>
        <w:ind w:left="0" w:right="0" w:firstLine="0"/>
        <w:jc w:val="left"/>
      </w:pPr>
      <w:r>
        <w:rPr>
          <w:b/>
        </w:rPr>
        <w:t xml:space="preserve"> </w:t>
      </w:r>
    </w:p>
    <w:p w:rsidR="00C512B3" w:rsidRDefault="00E47DE0">
      <w:pPr>
        <w:spacing w:after="169"/>
        <w:ind w:left="-5" w:right="0"/>
      </w:pPr>
      <w:r>
        <w:rPr>
          <w:b/>
        </w:rPr>
        <w:lastRenderedPageBreak/>
        <w:t xml:space="preserve">ARTÍCULO ÚNICO: Se adiciona la fracción XVII Bis al artículo 41 así como se reforma la fracción V del artículo 51, ambos de la Ley de Gobierno de los Municipios del Estado de Yucatán, para quedar como sigue: </w:t>
      </w:r>
    </w:p>
    <w:p w:rsidR="00C512B3" w:rsidRDefault="00E47DE0">
      <w:pPr>
        <w:spacing w:after="182" w:line="259" w:lineRule="auto"/>
        <w:ind w:left="0" w:right="0" w:firstLine="0"/>
        <w:jc w:val="left"/>
      </w:pPr>
      <w:r>
        <w:t xml:space="preserve"> </w:t>
      </w:r>
    </w:p>
    <w:p w:rsidR="0003263B" w:rsidRDefault="00E47DE0">
      <w:pPr>
        <w:spacing w:after="115" w:line="345" w:lineRule="auto"/>
        <w:ind w:left="-5" w:right="0"/>
      </w:pPr>
      <w:r>
        <w:t xml:space="preserve">Artículo 41.- El Ayuntamiento tiene las atribuciones siguientes, las cuales serán ejercidas por el Cabildo:   </w:t>
      </w:r>
    </w:p>
    <w:p w:rsidR="00C512B3" w:rsidRDefault="00E47DE0">
      <w:pPr>
        <w:spacing w:after="115" w:line="345" w:lineRule="auto"/>
        <w:ind w:left="-5" w:right="0"/>
      </w:pPr>
      <w:bookmarkStart w:id="0" w:name="_GoBack"/>
      <w:bookmarkEnd w:id="0"/>
      <w:r>
        <w:t xml:space="preserve">A) De Gobierno:     </w:t>
      </w:r>
    </w:p>
    <w:p w:rsidR="00C512B3" w:rsidRDefault="00E47DE0">
      <w:pPr>
        <w:ind w:left="-5" w:right="0"/>
      </w:pPr>
      <w:r>
        <w:t xml:space="preserve">I – XVII…   </w:t>
      </w:r>
    </w:p>
    <w:p w:rsidR="00C512B3" w:rsidRDefault="00E47DE0">
      <w:pPr>
        <w:numPr>
          <w:ilvl w:val="0"/>
          <w:numId w:val="1"/>
        </w:numPr>
        <w:spacing w:after="191"/>
        <w:ind w:right="0" w:hanging="588"/>
      </w:pPr>
      <w:r>
        <w:rPr>
          <w:b/>
        </w:rPr>
        <w:t xml:space="preserve">Bis. - Atender las necesidades de las y los ciudadanos, así como de las comunidades indígenas, sin discriminación; a través de la atención de las peticiones realizadas por escrito o de manera verbal, en formatos accesibles, mediante las áreas destinadas a este fin; </w:t>
      </w:r>
    </w:p>
    <w:p w:rsidR="00C512B3" w:rsidRDefault="00E47DE0">
      <w:pPr>
        <w:numPr>
          <w:ilvl w:val="0"/>
          <w:numId w:val="1"/>
        </w:numPr>
        <w:spacing w:after="197"/>
        <w:ind w:right="0" w:hanging="588"/>
      </w:pPr>
      <w:r>
        <w:t xml:space="preserve">-  XXIV…    </w:t>
      </w:r>
    </w:p>
    <w:p w:rsidR="00C512B3" w:rsidRDefault="00E47DE0">
      <w:pPr>
        <w:ind w:left="-5" w:right="0"/>
      </w:pPr>
      <w:r>
        <w:t xml:space="preserve">B – E… </w:t>
      </w:r>
    </w:p>
    <w:p w:rsidR="00C512B3" w:rsidRDefault="00E47DE0">
      <w:pPr>
        <w:spacing w:after="205"/>
        <w:ind w:left="-5" w:right="0"/>
      </w:pPr>
      <w:r>
        <w:t xml:space="preserve">Artículo 51.- … </w:t>
      </w:r>
    </w:p>
    <w:p w:rsidR="00C512B3" w:rsidRDefault="00E47DE0">
      <w:pPr>
        <w:ind w:left="-5" w:right="0"/>
      </w:pPr>
      <w:r>
        <w:t xml:space="preserve">… </w:t>
      </w:r>
    </w:p>
    <w:p w:rsidR="00C512B3" w:rsidRDefault="00E47DE0">
      <w:pPr>
        <w:spacing w:after="196"/>
        <w:ind w:left="-5" w:right="0"/>
      </w:pPr>
      <w:r>
        <w:t xml:space="preserve">Serán Comisiones obligatorias, las siguientes:  </w:t>
      </w:r>
    </w:p>
    <w:p w:rsidR="00C512B3" w:rsidRDefault="00E47DE0">
      <w:pPr>
        <w:ind w:left="-5" w:right="0"/>
      </w:pPr>
      <w:r>
        <w:t xml:space="preserve">I - IV… </w:t>
      </w:r>
    </w:p>
    <w:p w:rsidR="00C512B3" w:rsidRDefault="00E47DE0">
      <w:pPr>
        <w:spacing w:after="197"/>
        <w:ind w:left="-5" w:right="0"/>
      </w:pPr>
      <w:r>
        <w:t>V.-  Servicios públicos</w:t>
      </w:r>
      <w:r>
        <w:rPr>
          <w:b/>
        </w:rPr>
        <w:t>, atención ciudadana y asuntos indígenas</w:t>
      </w:r>
      <w:r>
        <w:t xml:space="preserve">;   </w:t>
      </w:r>
    </w:p>
    <w:p w:rsidR="00C512B3" w:rsidRDefault="00E47DE0">
      <w:pPr>
        <w:ind w:left="-5" w:right="0"/>
      </w:pPr>
      <w:r>
        <w:t xml:space="preserve">VI – VII… </w:t>
      </w:r>
    </w:p>
    <w:p w:rsidR="00C512B3" w:rsidRDefault="00E47DE0">
      <w:pPr>
        <w:spacing w:after="182" w:line="259" w:lineRule="auto"/>
        <w:ind w:left="714" w:right="0"/>
        <w:jc w:val="center"/>
      </w:pPr>
      <w:r>
        <w:rPr>
          <w:b/>
        </w:rPr>
        <w:t xml:space="preserve">ARTÍCULOS TRANSITORIOS: </w:t>
      </w:r>
    </w:p>
    <w:p w:rsidR="00C512B3" w:rsidRDefault="00E47DE0">
      <w:pPr>
        <w:ind w:left="-5" w:right="0"/>
      </w:pPr>
      <w:r>
        <w:rPr>
          <w:b/>
        </w:rPr>
        <w:t>PRIMERO. -</w:t>
      </w:r>
      <w:r>
        <w:t xml:space="preserve"> El presente decreto entrará en vigor al día siguiente de su publicación en el Diario Oficial del Gobierno del Estado de Yucatán. </w:t>
      </w:r>
    </w:p>
    <w:p w:rsidR="00C512B3" w:rsidRDefault="00E47DE0">
      <w:pPr>
        <w:ind w:left="-5" w:right="0"/>
      </w:pPr>
      <w:r>
        <w:rPr>
          <w:b/>
        </w:rPr>
        <w:t xml:space="preserve">SEGUNDO. - </w:t>
      </w:r>
      <w:r>
        <w:t xml:space="preserve">Se derogan las disposiciones de igual o menor jerarquía en lo que se opongan al presente Decreto. </w:t>
      </w:r>
    </w:p>
    <w:p w:rsidR="00C512B3" w:rsidRDefault="00E47DE0">
      <w:pPr>
        <w:spacing w:after="182" w:line="259" w:lineRule="auto"/>
        <w:ind w:left="772" w:right="0" w:firstLine="0"/>
        <w:jc w:val="center"/>
      </w:pPr>
      <w:r>
        <w:rPr>
          <w:b/>
        </w:rPr>
        <w:t xml:space="preserve"> </w:t>
      </w:r>
    </w:p>
    <w:p w:rsidR="00C512B3" w:rsidRDefault="00E47DE0">
      <w:pPr>
        <w:ind w:left="-5" w:right="0"/>
      </w:pPr>
      <w:r>
        <w:lastRenderedPageBreak/>
        <w:t xml:space="preserve"> Protesto lo necesario en la ciudad de Mérida, Yucatán a los 19 días del mes de septiembre del año dos mil veintidós. </w:t>
      </w:r>
    </w:p>
    <w:p w:rsidR="00C512B3" w:rsidRDefault="00E47DE0">
      <w:pPr>
        <w:spacing w:after="177" w:line="259" w:lineRule="auto"/>
        <w:ind w:left="66" w:right="0" w:firstLine="0"/>
        <w:jc w:val="center"/>
      </w:pPr>
      <w:r>
        <w:t xml:space="preserve"> </w:t>
      </w:r>
    </w:p>
    <w:p w:rsidR="00C512B3" w:rsidRDefault="00E47DE0">
      <w:pPr>
        <w:spacing w:after="182" w:line="259" w:lineRule="auto"/>
        <w:ind w:left="66" w:right="0" w:firstLine="0"/>
        <w:jc w:val="center"/>
      </w:pPr>
      <w:r>
        <w:t xml:space="preserve"> </w:t>
      </w:r>
    </w:p>
    <w:p w:rsidR="00C512B3" w:rsidRDefault="00E47DE0">
      <w:pPr>
        <w:spacing w:after="20" w:line="259" w:lineRule="auto"/>
        <w:ind w:right="2022"/>
        <w:jc w:val="right"/>
      </w:pPr>
      <w:r>
        <w:rPr>
          <w:b/>
        </w:rPr>
        <w:t xml:space="preserve">DIP. MANUELA DE JESÚS COCOM BOLIO </w:t>
      </w:r>
    </w:p>
    <w:p w:rsidR="00C512B3" w:rsidRDefault="00E47DE0">
      <w:pPr>
        <w:spacing w:after="20" w:line="259" w:lineRule="auto"/>
        <w:ind w:right="1739"/>
        <w:jc w:val="right"/>
      </w:pPr>
      <w:r>
        <w:rPr>
          <w:b/>
        </w:rPr>
        <w:t xml:space="preserve">INTEGRANTE DE LA FRACCIÓN LEGISLATIVA </w:t>
      </w:r>
    </w:p>
    <w:p w:rsidR="00C512B3" w:rsidRDefault="00E47DE0">
      <w:pPr>
        <w:spacing w:after="9"/>
        <w:ind w:left="2442" w:right="0"/>
      </w:pPr>
      <w:r>
        <w:rPr>
          <w:b/>
        </w:rPr>
        <w:t xml:space="preserve">DEL PARTIDO ACCIÓN NACIONAL </w:t>
      </w:r>
    </w:p>
    <w:p w:rsidR="00C512B3" w:rsidRDefault="00E47DE0">
      <w:pPr>
        <w:spacing w:after="106" w:line="259" w:lineRule="auto"/>
        <w:ind w:left="0" w:right="0" w:firstLine="0"/>
        <w:jc w:val="left"/>
      </w:pPr>
      <w:r>
        <w:t xml:space="preserve"> </w:t>
      </w:r>
    </w:p>
    <w:p w:rsidR="00C512B3" w:rsidRDefault="00E47DE0">
      <w:pPr>
        <w:spacing w:after="12" w:line="259" w:lineRule="auto"/>
        <w:ind w:left="0" w:right="247" w:firstLine="0"/>
        <w:jc w:val="center"/>
      </w:pPr>
      <w:r>
        <w:rPr>
          <w:b/>
          <w:sz w:val="16"/>
        </w:rPr>
        <w:t xml:space="preserve"> </w:t>
      </w:r>
    </w:p>
    <w:p w:rsidR="00C512B3" w:rsidRDefault="00E47DE0">
      <w:pPr>
        <w:spacing w:after="0" w:line="274" w:lineRule="auto"/>
        <w:ind w:left="0" w:right="4524" w:firstLine="0"/>
        <w:jc w:val="left"/>
      </w:pPr>
      <w:r>
        <w:rPr>
          <w:b/>
          <w:sz w:val="16"/>
        </w:rPr>
        <w:t xml:space="preserve">  </w:t>
      </w:r>
    </w:p>
    <w:sectPr w:rsidR="00C512B3">
      <w:headerReference w:type="even" r:id="rId7"/>
      <w:headerReference w:type="default" r:id="rId8"/>
      <w:footerReference w:type="even" r:id="rId9"/>
      <w:footerReference w:type="default" r:id="rId10"/>
      <w:headerReference w:type="first" r:id="rId11"/>
      <w:footerReference w:type="first" r:id="rId12"/>
      <w:pgSz w:w="12240" w:h="15840"/>
      <w:pgMar w:top="2591" w:right="1699" w:bottom="1532" w:left="1702" w:header="346"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DE0" w:rsidRDefault="00E47DE0">
      <w:pPr>
        <w:spacing w:after="0" w:line="240" w:lineRule="auto"/>
      </w:pPr>
      <w:r>
        <w:separator/>
      </w:r>
    </w:p>
  </w:endnote>
  <w:endnote w:type="continuationSeparator" w:id="0">
    <w:p w:rsidR="00E47DE0" w:rsidRDefault="00E4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B3" w:rsidRDefault="00E47DE0">
    <w:pPr>
      <w:spacing w:after="0" w:line="259" w:lineRule="auto"/>
      <w:ind w:left="0" w:right="-2" w:firstLine="0"/>
      <w:jc w:val="right"/>
    </w:pPr>
    <w:r>
      <w:rPr>
        <w:rFonts w:ascii="Calibri" w:eastAsia="Calibri" w:hAnsi="Calibri" w:cs="Calibri"/>
        <w:sz w:val="22"/>
      </w:rPr>
      <w:t xml:space="preserve">Página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sz w:val="22"/>
      </w:rPr>
      <w:t xml:space="preserve"> de </w:t>
    </w:r>
    <w:fldSimple w:instr=" NUMPAGES   \* MERGEFORMAT ">
      <w:r>
        <w:rPr>
          <w:rFonts w:ascii="Calibri" w:eastAsia="Calibri" w:hAnsi="Calibri" w:cs="Calibri"/>
          <w:b/>
        </w:rPr>
        <w:t>4</w:t>
      </w:r>
    </w:fldSimple>
    <w:r>
      <w:rPr>
        <w:rFonts w:ascii="Calibri" w:eastAsia="Calibri" w:hAnsi="Calibri" w:cs="Calibri"/>
        <w:sz w:val="22"/>
      </w:rPr>
      <w:t xml:space="preserve"> </w:t>
    </w:r>
  </w:p>
  <w:p w:rsidR="00C512B3" w:rsidRDefault="00E47DE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B3" w:rsidRDefault="00E47DE0">
    <w:pPr>
      <w:spacing w:after="0" w:line="259" w:lineRule="auto"/>
      <w:ind w:left="0" w:right="-2" w:firstLine="0"/>
      <w:jc w:val="right"/>
    </w:pPr>
    <w:r>
      <w:rPr>
        <w:rFonts w:ascii="Calibri" w:eastAsia="Calibri" w:hAnsi="Calibri" w:cs="Calibri"/>
        <w:sz w:val="22"/>
      </w:rPr>
      <w:t xml:space="preserve">Página </w:t>
    </w:r>
    <w:r>
      <w:fldChar w:fldCharType="begin"/>
    </w:r>
    <w:r>
      <w:instrText xml:space="preserve"> PAGE   \* MERGEFORMAT </w:instrText>
    </w:r>
    <w:r>
      <w:fldChar w:fldCharType="separate"/>
    </w:r>
    <w:r w:rsidR="0003263B" w:rsidRPr="0003263B">
      <w:rPr>
        <w:rFonts w:ascii="Calibri" w:eastAsia="Calibri" w:hAnsi="Calibri" w:cs="Calibri"/>
        <w:b/>
        <w:noProof/>
      </w:rPr>
      <w:t>4</w:t>
    </w:r>
    <w:r>
      <w:rPr>
        <w:rFonts w:ascii="Calibri" w:eastAsia="Calibri" w:hAnsi="Calibri" w:cs="Calibri"/>
        <w:b/>
      </w:rPr>
      <w:fldChar w:fldCharType="end"/>
    </w:r>
    <w:r>
      <w:rPr>
        <w:rFonts w:ascii="Calibri" w:eastAsia="Calibri" w:hAnsi="Calibri" w:cs="Calibri"/>
        <w:sz w:val="22"/>
      </w:rPr>
      <w:t xml:space="preserve"> de </w:t>
    </w:r>
    <w:fldSimple w:instr=" NUMPAGES   \* MERGEFORMAT ">
      <w:r w:rsidR="0003263B" w:rsidRPr="0003263B">
        <w:rPr>
          <w:rFonts w:ascii="Calibri" w:eastAsia="Calibri" w:hAnsi="Calibri" w:cs="Calibri"/>
          <w:b/>
          <w:noProof/>
        </w:rPr>
        <w:t>4</w:t>
      </w:r>
    </w:fldSimple>
    <w:r>
      <w:rPr>
        <w:rFonts w:ascii="Calibri" w:eastAsia="Calibri" w:hAnsi="Calibri" w:cs="Calibri"/>
        <w:sz w:val="22"/>
      </w:rPr>
      <w:t xml:space="preserve"> </w:t>
    </w:r>
  </w:p>
  <w:p w:rsidR="00C512B3" w:rsidRDefault="00E47DE0">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B3" w:rsidRDefault="00E47DE0">
    <w:pPr>
      <w:spacing w:after="0" w:line="259" w:lineRule="auto"/>
      <w:ind w:left="0" w:right="-2" w:firstLine="0"/>
      <w:jc w:val="right"/>
    </w:pPr>
    <w:r>
      <w:rPr>
        <w:rFonts w:ascii="Calibri" w:eastAsia="Calibri" w:hAnsi="Calibri" w:cs="Calibri"/>
        <w:sz w:val="22"/>
      </w:rPr>
      <w:t xml:space="preserve">Página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sz w:val="22"/>
      </w:rPr>
      <w:t xml:space="preserve"> de </w:t>
    </w:r>
    <w:fldSimple w:instr=" NUMPAGES   \* MERGEFORMAT ">
      <w:r>
        <w:rPr>
          <w:rFonts w:ascii="Calibri" w:eastAsia="Calibri" w:hAnsi="Calibri" w:cs="Calibri"/>
          <w:b/>
        </w:rPr>
        <w:t>4</w:t>
      </w:r>
    </w:fldSimple>
    <w:r>
      <w:rPr>
        <w:rFonts w:ascii="Calibri" w:eastAsia="Calibri" w:hAnsi="Calibri" w:cs="Calibri"/>
        <w:sz w:val="22"/>
      </w:rPr>
      <w:t xml:space="preserve"> </w:t>
    </w:r>
  </w:p>
  <w:p w:rsidR="00C512B3" w:rsidRDefault="00E47DE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DE0" w:rsidRDefault="00E47DE0">
      <w:pPr>
        <w:spacing w:after="0" w:line="240" w:lineRule="auto"/>
      </w:pPr>
      <w:r>
        <w:separator/>
      </w:r>
    </w:p>
  </w:footnote>
  <w:footnote w:type="continuationSeparator" w:id="0">
    <w:p w:rsidR="00E47DE0" w:rsidRDefault="00E4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B3" w:rsidRDefault="00E47DE0">
    <w:pPr>
      <w:tabs>
        <w:tab w:val="center" w:pos="1560"/>
        <w:tab w:val="center" w:pos="4592"/>
      </w:tabs>
      <w:spacing w:after="166" w:line="259" w:lineRule="auto"/>
      <w:ind w:left="0" w:right="0" w:firstLine="0"/>
      <w:jc w:val="left"/>
    </w:pPr>
    <w:r>
      <w:rPr>
        <w:noProof/>
      </w:rPr>
      <w:drawing>
        <wp:anchor distT="0" distB="0" distL="114300" distR="114300" simplePos="0" relativeHeight="251658240" behindDoc="0" locked="0" layoutInCell="1" allowOverlap="0">
          <wp:simplePos x="0" y="0"/>
          <wp:positionH relativeFrom="page">
            <wp:posOffset>1080516</wp:posOffset>
          </wp:positionH>
          <wp:positionV relativeFrom="page">
            <wp:posOffset>344424</wp:posOffset>
          </wp:positionV>
          <wp:extent cx="876300" cy="8763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6300" cy="8763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5981700</wp:posOffset>
          </wp:positionH>
          <wp:positionV relativeFrom="page">
            <wp:posOffset>219456</wp:posOffset>
          </wp:positionV>
          <wp:extent cx="1246632" cy="847344"/>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stretch>
                    <a:fillRect/>
                  </a:stretch>
                </pic:blipFill>
                <pic:spPr>
                  <a:xfrm>
                    <a:off x="0" y="0"/>
                    <a:ext cx="1246632" cy="847344"/>
                  </a:xfrm>
                  <a:prstGeom prst="rect">
                    <a:avLst/>
                  </a:prstGeom>
                </pic:spPr>
              </pic:pic>
            </a:graphicData>
          </a:graphic>
        </wp:anchor>
      </w:drawing>
    </w:r>
    <w:r>
      <w:rPr>
        <w:rFonts w:ascii="Calibri" w:eastAsia="Calibri" w:hAnsi="Calibri" w:cs="Calibri"/>
        <w:sz w:val="22"/>
      </w:rPr>
      <w:tab/>
    </w:r>
    <w:r>
      <w:rPr>
        <w:rFonts w:ascii="Calibri" w:eastAsia="Calibri" w:hAnsi="Calibri" w:cs="Calibri"/>
        <w:sz w:val="28"/>
        <w:vertAlign w:val="subscript"/>
      </w:rPr>
      <w:t xml:space="preserve"> </w:t>
    </w:r>
    <w:r>
      <w:rPr>
        <w:rFonts w:ascii="Calibri" w:eastAsia="Calibri" w:hAnsi="Calibri" w:cs="Calibri"/>
        <w:sz w:val="28"/>
        <w:vertAlign w:val="subscript"/>
      </w:rPr>
      <w:tab/>
    </w:r>
    <w:r>
      <w:rPr>
        <w:rFonts w:ascii="Calibri" w:eastAsia="Calibri" w:hAnsi="Calibri" w:cs="Calibri"/>
        <w:sz w:val="28"/>
      </w:rPr>
      <w:t xml:space="preserve">GOBIERNO DEL ESTADO DE YUCATAN </w:t>
    </w:r>
  </w:p>
  <w:p w:rsidR="00C512B3" w:rsidRDefault="00E47DE0">
    <w:pPr>
      <w:spacing w:after="93" w:line="259" w:lineRule="auto"/>
      <w:ind w:left="1771" w:right="0" w:firstLine="0"/>
      <w:jc w:val="left"/>
    </w:pPr>
    <w:r>
      <w:rPr>
        <w:rFonts w:ascii="Times New Roman" w:eastAsia="Times New Roman" w:hAnsi="Times New Roman" w:cs="Times New Roman"/>
        <w:sz w:val="28"/>
      </w:rPr>
      <w:t xml:space="preserve">PODER LEGISLATIVO </w:t>
    </w:r>
  </w:p>
  <w:p w:rsidR="00C512B3" w:rsidRDefault="00E47DE0">
    <w:pPr>
      <w:spacing w:after="2" w:line="259" w:lineRule="auto"/>
      <w:ind w:left="0" w:right="-925" w:firstLine="0"/>
      <w:jc w:val="right"/>
    </w:pPr>
    <w:r>
      <w:rPr>
        <w:b/>
        <w:sz w:val="14"/>
      </w:rPr>
      <w:t xml:space="preserve">LXIII LEGISLATURA DEL ESTADO </w:t>
    </w:r>
  </w:p>
  <w:p w:rsidR="00C512B3" w:rsidRDefault="00E47DE0">
    <w:pPr>
      <w:spacing w:after="166" w:line="259" w:lineRule="auto"/>
      <w:ind w:left="0" w:right="-969" w:firstLine="0"/>
      <w:jc w:val="right"/>
    </w:pPr>
    <w:r>
      <w:rPr>
        <w:b/>
        <w:sz w:val="14"/>
      </w:rPr>
      <w:t xml:space="preserve">LIBRE Y SOBERANO DE YUCATÁN </w:t>
    </w:r>
  </w:p>
  <w:p w:rsidR="00C512B3" w:rsidRDefault="00E47DE0">
    <w:pPr>
      <w:spacing w:after="0" w:line="259" w:lineRule="auto"/>
      <w:ind w:left="0" w:right="-249" w:firstLine="0"/>
      <w:jc w:val="right"/>
    </w:pPr>
    <w:r>
      <w:rPr>
        <w:b/>
        <w:sz w:val="14"/>
      </w:rPr>
      <w:t xml:space="preserve">DE YUCATAN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B3" w:rsidRDefault="00E47DE0">
    <w:pPr>
      <w:tabs>
        <w:tab w:val="center" w:pos="1560"/>
        <w:tab w:val="center" w:pos="4592"/>
      </w:tabs>
      <w:spacing w:after="166" w:line="259" w:lineRule="auto"/>
      <w:ind w:left="0" w:right="0" w:firstLine="0"/>
      <w:jc w:val="left"/>
    </w:pPr>
    <w:r>
      <w:rPr>
        <w:noProof/>
      </w:rPr>
      <w:drawing>
        <wp:anchor distT="0" distB="0" distL="114300" distR="114300" simplePos="0" relativeHeight="251660288" behindDoc="0" locked="0" layoutInCell="1" allowOverlap="0">
          <wp:simplePos x="0" y="0"/>
          <wp:positionH relativeFrom="page">
            <wp:posOffset>1080516</wp:posOffset>
          </wp:positionH>
          <wp:positionV relativeFrom="page">
            <wp:posOffset>344424</wp:posOffset>
          </wp:positionV>
          <wp:extent cx="876300" cy="876300"/>
          <wp:effectExtent l="0" t="0" r="0" b="0"/>
          <wp:wrapSquare wrapText="bothSides"/>
          <wp:docPr id="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6300" cy="87630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5981700</wp:posOffset>
          </wp:positionH>
          <wp:positionV relativeFrom="page">
            <wp:posOffset>219456</wp:posOffset>
          </wp:positionV>
          <wp:extent cx="1246632" cy="847344"/>
          <wp:effectExtent l="0" t="0" r="0" b="0"/>
          <wp:wrapSquare wrapText="bothSides"/>
          <wp:docPr id="2"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stretch>
                    <a:fillRect/>
                  </a:stretch>
                </pic:blipFill>
                <pic:spPr>
                  <a:xfrm>
                    <a:off x="0" y="0"/>
                    <a:ext cx="1246632" cy="847344"/>
                  </a:xfrm>
                  <a:prstGeom prst="rect">
                    <a:avLst/>
                  </a:prstGeom>
                </pic:spPr>
              </pic:pic>
            </a:graphicData>
          </a:graphic>
        </wp:anchor>
      </w:drawing>
    </w:r>
    <w:r>
      <w:rPr>
        <w:rFonts w:ascii="Calibri" w:eastAsia="Calibri" w:hAnsi="Calibri" w:cs="Calibri"/>
        <w:sz w:val="22"/>
      </w:rPr>
      <w:tab/>
    </w:r>
    <w:r>
      <w:rPr>
        <w:rFonts w:ascii="Calibri" w:eastAsia="Calibri" w:hAnsi="Calibri" w:cs="Calibri"/>
        <w:sz w:val="28"/>
        <w:vertAlign w:val="subscript"/>
      </w:rPr>
      <w:t xml:space="preserve"> </w:t>
    </w:r>
    <w:r>
      <w:rPr>
        <w:rFonts w:ascii="Calibri" w:eastAsia="Calibri" w:hAnsi="Calibri" w:cs="Calibri"/>
        <w:sz w:val="28"/>
        <w:vertAlign w:val="subscript"/>
      </w:rPr>
      <w:tab/>
    </w:r>
    <w:r>
      <w:rPr>
        <w:rFonts w:ascii="Calibri" w:eastAsia="Calibri" w:hAnsi="Calibri" w:cs="Calibri"/>
        <w:sz w:val="28"/>
      </w:rPr>
      <w:t xml:space="preserve">GOBIERNO DEL ESTADO DE YUCATAN </w:t>
    </w:r>
  </w:p>
  <w:p w:rsidR="00C512B3" w:rsidRDefault="00E47DE0">
    <w:pPr>
      <w:spacing w:after="93" w:line="259" w:lineRule="auto"/>
      <w:ind w:left="1771" w:right="0" w:firstLine="0"/>
      <w:jc w:val="left"/>
    </w:pPr>
    <w:r>
      <w:rPr>
        <w:rFonts w:ascii="Times New Roman" w:eastAsia="Times New Roman" w:hAnsi="Times New Roman" w:cs="Times New Roman"/>
        <w:sz w:val="28"/>
      </w:rPr>
      <w:t xml:space="preserve">PODER LEGISLATIVO </w:t>
    </w:r>
  </w:p>
  <w:p w:rsidR="00C512B3" w:rsidRDefault="00E47DE0">
    <w:pPr>
      <w:spacing w:after="2" w:line="259" w:lineRule="auto"/>
      <w:ind w:left="0" w:right="-925" w:firstLine="0"/>
      <w:jc w:val="right"/>
    </w:pPr>
    <w:r>
      <w:rPr>
        <w:b/>
        <w:sz w:val="14"/>
      </w:rPr>
      <w:t xml:space="preserve">LXIII LEGISLATURA DEL ESTADO </w:t>
    </w:r>
  </w:p>
  <w:p w:rsidR="00C512B3" w:rsidRDefault="00E47DE0">
    <w:pPr>
      <w:spacing w:after="166" w:line="259" w:lineRule="auto"/>
      <w:ind w:left="0" w:right="-969" w:firstLine="0"/>
      <w:jc w:val="right"/>
    </w:pPr>
    <w:r>
      <w:rPr>
        <w:b/>
        <w:sz w:val="14"/>
      </w:rPr>
      <w:t xml:space="preserve">LIBRE Y SOBERANO DE YUCATÁN </w:t>
    </w:r>
  </w:p>
  <w:p w:rsidR="00C512B3" w:rsidRDefault="00E47DE0">
    <w:pPr>
      <w:spacing w:after="0" w:line="259" w:lineRule="auto"/>
      <w:ind w:left="0" w:right="-249" w:firstLine="0"/>
      <w:jc w:val="right"/>
    </w:pPr>
    <w:r>
      <w:rPr>
        <w:b/>
        <w:sz w:val="14"/>
      </w:rPr>
      <w:t xml:space="preserve">DE YUCATAN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B3" w:rsidRDefault="00E47DE0">
    <w:pPr>
      <w:tabs>
        <w:tab w:val="center" w:pos="1560"/>
        <w:tab w:val="center" w:pos="4592"/>
      </w:tabs>
      <w:spacing w:after="166" w:line="259" w:lineRule="auto"/>
      <w:ind w:left="0" w:right="0" w:firstLine="0"/>
      <w:jc w:val="left"/>
    </w:pPr>
    <w:r>
      <w:rPr>
        <w:noProof/>
      </w:rPr>
      <w:drawing>
        <wp:anchor distT="0" distB="0" distL="114300" distR="114300" simplePos="0" relativeHeight="251662336" behindDoc="0" locked="0" layoutInCell="1" allowOverlap="0">
          <wp:simplePos x="0" y="0"/>
          <wp:positionH relativeFrom="page">
            <wp:posOffset>1080516</wp:posOffset>
          </wp:positionH>
          <wp:positionV relativeFrom="page">
            <wp:posOffset>344424</wp:posOffset>
          </wp:positionV>
          <wp:extent cx="876300" cy="876300"/>
          <wp:effectExtent l="0" t="0" r="0" b="0"/>
          <wp:wrapSquare wrapText="bothSides"/>
          <wp:docPr id="3"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6300" cy="87630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5981700</wp:posOffset>
          </wp:positionH>
          <wp:positionV relativeFrom="page">
            <wp:posOffset>219456</wp:posOffset>
          </wp:positionV>
          <wp:extent cx="1246632" cy="847344"/>
          <wp:effectExtent l="0" t="0" r="0" b="0"/>
          <wp:wrapSquare wrapText="bothSides"/>
          <wp:docPr id="4"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stretch>
                    <a:fillRect/>
                  </a:stretch>
                </pic:blipFill>
                <pic:spPr>
                  <a:xfrm>
                    <a:off x="0" y="0"/>
                    <a:ext cx="1246632" cy="847344"/>
                  </a:xfrm>
                  <a:prstGeom prst="rect">
                    <a:avLst/>
                  </a:prstGeom>
                </pic:spPr>
              </pic:pic>
            </a:graphicData>
          </a:graphic>
        </wp:anchor>
      </w:drawing>
    </w:r>
    <w:r>
      <w:rPr>
        <w:rFonts w:ascii="Calibri" w:eastAsia="Calibri" w:hAnsi="Calibri" w:cs="Calibri"/>
        <w:sz w:val="22"/>
      </w:rPr>
      <w:tab/>
    </w:r>
    <w:r>
      <w:rPr>
        <w:rFonts w:ascii="Calibri" w:eastAsia="Calibri" w:hAnsi="Calibri" w:cs="Calibri"/>
        <w:sz w:val="28"/>
        <w:vertAlign w:val="subscript"/>
      </w:rPr>
      <w:t xml:space="preserve"> </w:t>
    </w:r>
    <w:r>
      <w:rPr>
        <w:rFonts w:ascii="Calibri" w:eastAsia="Calibri" w:hAnsi="Calibri" w:cs="Calibri"/>
        <w:sz w:val="28"/>
        <w:vertAlign w:val="subscript"/>
      </w:rPr>
      <w:tab/>
    </w:r>
    <w:r>
      <w:rPr>
        <w:rFonts w:ascii="Calibri" w:eastAsia="Calibri" w:hAnsi="Calibri" w:cs="Calibri"/>
        <w:sz w:val="28"/>
      </w:rPr>
      <w:t xml:space="preserve">GOBIERNO DEL ESTADO DE YUCATAN </w:t>
    </w:r>
  </w:p>
  <w:p w:rsidR="00C512B3" w:rsidRDefault="00E47DE0">
    <w:pPr>
      <w:spacing w:after="93" w:line="259" w:lineRule="auto"/>
      <w:ind w:left="1771" w:right="0" w:firstLine="0"/>
      <w:jc w:val="left"/>
    </w:pPr>
    <w:r>
      <w:rPr>
        <w:rFonts w:ascii="Times New Roman" w:eastAsia="Times New Roman" w:hAnsi="Times New Roman" w:cs="Times New Roman"/>
        <w:sz w:val="28"/>
      </w:rPr>
      <w:t xml:space="preserve">PODER LEGISLATIVO </w:t>
    </w:r>
  </w:p>
  <w:p w:rsidR="00C512B3" w:rsidRDefault="00E47DE0">
    <w:pPr>
      <w:spacing w:after="2" w:line="259" w:lineRule="auto"/>
      <w:ind w:left="0" w:right="-925" w:firstLine="0"/>
      <w:jc w:val="right"/>
    </w:pPr>
    <w:r>
      <w:rPr>
        <w:b/>
        <w:sz w:val="14"/>
      </w:rPr>
      <w:t xml:space="preserve">LXIII LEGISLATURA DEL ESTADO </w:t>
    </w:r>
  </w:p>
  <w:p w:rsidR="00C512B3" w:rsidRDefault="00E47DE0">
    <w:pPr>
      <w:spacing w:after="166" w:line="259" w:lineRule="auto"/>
      <w:ind w:left="0" w:right="-969" w:firstLine="0"/>
      <w:jc w:val="right"/>
    </w:pPr>
    <w:r>
      <w:rPr>
        <w:b/>
        <w:sz w:val="14"/>
      </w:rPr>
      <w:t xml:space="preserve">LIBRE Y SOBERANO DE YUCATÁN </w:t>
    </w:r>
  </w:p>
  <w:p w:rsidR="00C512B3" w:rsidRDefault="00E47DE0">
    <w:pPr>
      <w:spacing w:after="0" w:line="259" w:lineRule="auto"/>
      <w:ind w:left="0" w:right="-249" w:firstLine="0"/>
      <w:jc w:val="right"/>
    </w:pPr>
    <w:r>
      <w:rPr>
        <w:b/>
        <w:sz w:val="14"/>
      </w:rPr>
      <w:t xml:space="preserve">DE YUCATAN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76D3F"/>
    <w:multiLevelType w:val="hybridMultilevel"/>
    <w:tmpl w:val="C26C6436"/>
    <w:lvl w:ilvl="0" w:tplc="02DC30D8">
      <w:start w:val="17"/>
      <w:numFmt w:val="upperRoman"/>
      <w:lvlText w:val="%1"/>
      <w:lvlJc w:val="left"/>
      <w:pPr>
        <w:ind w:left="5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C6943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5BCB39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4E6B5B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50444B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24E8B9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98A368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C5EDAA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7A805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B3"/>
    <w:rsid w:val="0003263B"/>
    <w:rsid w:val="00171263"/>
    <w:rsid w:val="00C512B3"/>
    <w:rsid w:val="00E47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3FDE"/>
  <w15:docId w15:val="{697312FE-51B7-4B02-A012-8F5E929E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3" w:line="268" w:lineRule="auto"/>
      <w:ind w:left="10" w:right="1"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Cubiculo10</dc:creator>
  <cp:keywords/>
  <cp:lastModifiedBy>Mildred Manzanilla</cp:lastModifiedBy>
  <cp:revision>3</cp:revision>
  <dcterms:created xsi:type="dcterms:W3CDTF">2022-10-19T18:42:00Z</dcterms:created>
  <dcterms:modified xsi:type="dcterms:W3CDTF">2022-10-24T16:40:00Z</dcterms:modified>
</cp:coreProperties>
</file>